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10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bCs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>
        <w:rPr>
          <w:sz w:val="22"/>
          <w:szCs w:val="22"/>
        </w:rPr>
        <w:t>к Техническим требованиям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</w:r>
    </w:p>
    <w:p>
      <w:pPr>
        <w:pStyle w:val="Normal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</w:r>
    </w:p>
    <w:p>
      <w:pPr>
        <w:pStyle w:val="Heading1"/>
        <w:spacing w:lineRule="auto" w:line="276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  <w:t>Задание на выполнение проектных работ</w:t>
      </w:r>
    </w:p>
    <w:p>
      <w:pPr>
        <w:pStyle w:val="Heading1"/>
        <w:spacing w:lineRule="auto" w:line="276"/>
        <w:rPr>
          <w:rFonts w:ascii="Times New Roman" w:hAnsi="Times New Roman" w:eastAsia="Liberation Serif"/>
          <w:b/>
          <w:sz w:val="24"/>
          <w:szCs w:val="22"/>
        </w:rPr>
      </w:pPr>
      <w:r>
        <w:rPr>
          <w:rFonts w:eastAsia="Liberation Serif" w:ascii="Times New Roman" w:hAnsi="Times New Roman"/>
          <w:b/>
          <w:sz w:val="24"/>
          <w:szCs w:val="22"/>
        </w:rPr>
        <w:t>по реконструкции квартальных тепловых сетей пгт. Прогресс</w:t>
      </w:r>
    </w:p>
    <w:p>
      <w:pPr>
        <w:pStyle w:val="Normal"/>
        <w:spacing w:lineRule="auto" w:line="276"/>
        <w:rPr>
          <w:rFonts w:ascii="Times New Roman" w:hAnsi="Times New Roman" w:eastAsia="Liberation Serif"/>
          <w:b/>
          <w:sz w:val="24"/>
          <w:szCs w:val="22"/>
        </w:rPr>
      </w:pPr>
      <w:r>
        <w:rPr>
          <w:rFonts w:eastAsia="Liberation Serif"/>
          <w:b/>
          <w:sz w:val="24"/>
          <w:szCs w:val="22"/>
        </w:rPr>
      </w:r>
    </w:p>
    <w:tbl>
      <w:tblPr>
        <w:tblW w:w="10226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730"/>
        <w:gridCol w:w="2268"/>
        <w:gridCol w:w="7228"/>
      </w:tblGrid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591" w:leader="none"/>
              </w:tabs>
              <w:spacing w:lineRule="auto" w:line="324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sz w:val="24"/>
                <w:szCs w:val="24"/>
              </w:rPr>
              <w:t>Цель работы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42"/>
              <w:tabs>
                <w:tab w:val="clear" w:pos="708"/>
                <w:tab w:val="left" w:pos="109" w:leader="none"/>
              </w:tabs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Повышение надежности работы тепловых сетей и снижение потерь тепловой энергии.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Состав проектных работ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hanging="0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Разработка проектной документации: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-сбор исходных данных;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-проведение комплекса обследований в объёме, необходимом для разработки проектной документации;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 разработка проектной и сметной документации;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- согласование проектной документации с собственниками пересекаемых коммуникаций (при необходимости);</w:t>
            </w:r>
          </w:p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firstLine="271" w:left="159" w:right="227"/>
              <w:jc w:val="both"/>
              <w:rPr>
                <w:sz w:val="24"/>
              </w:rPr>
            </w:pPr>
            <w:r>
              <w:rPr>
                <w:sz w:val="24"/>
              </w:rPr>
              <w:t>При необходимости Подрядчик выполняет соответствующие корректировки проектной документации.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Район строительства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284" w:left="159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Амурская область, пгт. Прогресс земельных участок с кадастровым номером 28:04:030349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left="230" w:right="408"/>
              <w:rPr/>
            </w:pPr>
            <w:r>
              <w:rPr>
                <w:sz w:val="24"/>
              </w:rPr>
              <w:t>Основные требования к применяемым материалам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ind w:firstLine="284" w:left="159" w:right="137"/>
              <w:jc w:val="both"/>
              <w:rPr>
                <w:rStyle w:val="23"/>
                <w:rFonts w:eastAsia="Liberation Serif"/>
                <w:color w:val="C9211E"/>
              </w:rPr>
            </w:pPr>
            <w:r>
              <w:rPr>
                <w:rFonts w:eastAsia="Liberation Serif"/>
                <w:color w:val="C9211E"/>
              </w:rPr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1. Применяемые в проектных решениях изделия и материалы должны соответствовать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условий эксплуатации.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2. При разработке проектной и сметной документации рекомендуется предусматривать материалы, изделия и оборудование Российского производства.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3.</w:t>
              <w:tab/>
              <w:t>Тепловая сеть: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-</w:t>
              <w:tab/>
              <w:t>в качестве арматуры принять – стальную запорную арматуру на Ру 16 кг/см2;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-</w:t>
              <w:tab/>
              <w:t>в качестве теплоизоляционного материала принять пенополимерминеральную изоляцию с покрывным слоем предотвращающим проникновение воды к слою изоляции и трубе.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Теплоизоляционные материалы, изделия и конструкции должны соответствовать СП 61.13330.2012. «Свод правил. Тепловая изоляция оборудования и трубопроводов. Актуализированная редакция СНиП 41 -03-2003».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Liberation Serif"/>
                <w:color w:val="000000"/>
              </w:rPr>
              <w:t>В качестве антикоррозийной изоляции трубопроводов и металлоконструкций принять грунтовку  ГФ-021 (1слой)  и  алюминиевый  лак  БТ-177 (2 слоя).</w:t>
            </w:r>
          </w:p>
          <w:p>
            <w:pPr>
              <w:pStyle w:val="Normal"/>
              <w:tabs>
                <w:tab w:val="clear" w:pos="708"/>
                <w:tab w:val="left" w:pos="673" w:leader="none"/>
              </w:tabs>
              <w:spacing w:lineRule="auto" w:line="276"/>
              <w:ind w:firstLine="284" w:left="159" w:right="137"/>
              <w:jc w:val="both"/>
              <w:rPr/>
            </w:pPr>
            <w:r>
              <w:rPr>
                <w:rStyle w:val="23"/>
                <w:rFonts w:eastAsia="Times New Roman" w:cs="Times New Roman"/>
                <w:color w:val="000000"/>
                <w:sz w:val="24"/>
                <w:szCs w:val="24"/>
              </w:rPr>
              <w:t xml:space="preserve">Оборудование и материально-технические ресурсы, применяемые в проекте должны соответствовать требованиям </w:t>
            </w:r>
            <w:r>
              <w:rPr>
                <w:rStyle w:val="23"/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</w:rPr>
              <w:t>Постановления Правительства РФ от 23.12.2024 N 1875 (в актуальной редакции на момент проектирования)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быть согласованы с заказчиком и иметь необходимые сертификаты (соответствия, качества и т.д.).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lineRule="auto" w:line="324" w:before="0" w:after="0"/>
              <w:ind w:hanging="0" w:left="227" w:righ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Требования к вариантной разработке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158"/>
              <w:jc w:val="both"/>
              <w:rPr>
                <w:color w:val="000000"/>
              </w:rPr>
            </w:pPr>
            <w:r>
              <w:rPr>
                <w:rFonts w:eastAsia="Liberation Serif"/>
                <w:color w:val="000000"/>
                <w:sz w:val="24"/>
                <w:szCs w:val="24"/>
              </w:rPr>
              <w:t>Не требуется</w:t>
            </w:r>
          </w:p>
        </w:tc>
      </w:tr>
      <w:tr>
        <w:trPr>
          <w:trHeight w:val="1125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"/>
              </w:numPr>
              <w:spacing w:lineRule="auto" w:line="324"/>
              <w:ind w:firstLine="170" w:left="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Исходные данные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</w:t>
              <w:tab/>
              <w:t>Основные характеристики реконструируемой тепловой сети: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1.1.</w:t>
              <w:tab/>
              <w:t>Участок от ТК124г до ТК91/1б, протяженность трубопровода в однотрубном исчислении – 0,562км;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1.2.</w:t>
              <w:tab/>
              <w:t>Наружный диаметр трубопровода – 89мм;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1.3.</w:t>
              <w:tab/>
              <w:t>Толщина стенки трубопровода – 4,5мм;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1.4.</w:t>
              <w:tab/>
              <w:t>Материал трубопровода – Ст 3;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1.5.</w:t>
              <w:tab/>
              <w:t>Тип прокладки – подземная  в  бесканальная;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1.6.</w:t>
              <w:tab/>
              <w:t>Тип тепловой изоляции трубопроводов -  МП-75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1.7.</w:t>
              <w:tab/>
              <w:t xml:space="preserve"> Тип покровного слоя – стеклоткань;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1.8.</w:t>
              <w:tab/>
              <w:t xml:space="preserve"> Температурный график работы тепловых сетей 85/65 0С;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1.9.</w:t>
              <w:tab/>
              <w:t xml:space="preserve"> Вид теплоносителя – сетевая вода;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1.10.</w:t>
              <w:tab/>
              <w:t xml:space="preserve"> Максимальное рабочее давление теплоносителя (избыточное):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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ab/>
              <w:t>в подающем трубопроводе – 6,2 кгс/см2;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</w:t>
            </w: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ab/>
              <w:t>в обратном трубопроводе – 3,7 кгс/см2.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1.11.</w:t>
              <w:tab/>
              <w:t>Режим работы ТС - круглосуточный, сезонный.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2.</w:t>
              <w:tab/>
              <w:t>Источник теплоснабжения – СП «Райчихинская ГРЭС».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3.</w:t>
              <w:tab/>
              <w:t>Схема трассировки теплотрассы предоставлена в Приложении 1 к  настоящему ТЗ.</w:t>
            </w:r>
          </w:p>
          <w:p>
            <w:pPr>
              <w:pStyle w:val="Normal"/>
              <w:tabs>
                <w:tab w:val="clear" w:pos="708"/>
                <w:tab w:val="left" w:pos="959" w:leader="none"/>
              </w:tabs>
              <w:spacing w:lineRule="auto" w:line="276"/>
              <w:ind w:hanging="0" w:left="142" w:right="158"/>
              <w:jc w:val="left"/>
              <w:rPr>
                <w:rFonts w:eastAsia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eastAsia="Liberation Serif"/>
                <w:b w:val="false"/>
                <w:bCs w:val="false"/>
                <w:sz w:val="24"/>
                <w:szCs w:val="24"/>
              </w:rPr>
              <w:t>4.</w:t>
              <w:tab/>
              <w:t>Дополнительные сведения предоставляются Заказчиком по письменному запросу Подрядчика с указанием перечня необходимых сведений и документов.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trike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Основные объёмы проектных работ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1.</w:t>
              <w:tab/>
              <w:t>Проведение обследования объекта реконструкции и сбор исходных данных в объёме, необходимом для выполнения проектной и сметной документации.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2.</w:t>
              <w:tab/>
              <w:t>Разработка проектной документации.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Реконструкцию тепловой сети выполнить согласно схеме трассировки (Приложение 1 к ТЗ), в пределах существующей прокладки.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В объёме проектных работ предусмотреть: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 xml:space="preserve">― </w:t>
            </w:r>
            <w:r>
              <w:rPr>
                <w:rFonts w:eastAsia="Liberation Serif"/>
                <w:sz w:val="24"/>
                <w:szCs w:val="24"/>
              </w:rPr>
              <w:t>земляные работы и устройство песчаного основания для прокладки железобетонных лотков;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 xml:space="preserve">― </w:t>
            </w:r>
            <w:r>
              <w:rPr>
                <w:rFonts w:eastAsia="Liberation Serif"/>
                <w:sz w:val="24"/>
                <w:szCs w:val="24"/>
              </w:rPr>
              <w:t>устройство непроходных сборных железобетонных каналов, неподвижных и подвижных опор, с монтажом сильфонных компенсаторов и металлоконструкций для прокладки двухтрубной водяной тепловой сети в непроходных сборных железобетонных каналах на участке от ТК124г до ТК91/1б;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 xml:space="preserve">― </w:t>
            </w:r>
            <w:r>
              <w:rPr>
                <w:rFonts w:eastAsia="Liberation Serif"/>
                <w:sz w:val="24"/>
                <w:szCs w:val="24"/>
              </w:rPr>
              <w:t>монтаж трубопровода тепловой сети в непроходных сборных железобетонных каналах Дн 159 мм, протяженностью L= 281м в двухтрубном исполнении с нанесением антикоррозийного покрытия, с  тепловой  изоляцией и покровным  слоем;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 xml:space="preserve">―     </w:t>
            </w:r>
            <w:r>
              <w:rPr>
                <w:rFonts w:eastAsia="Liberation Serif"/>
                <w:sz w:val="24"/>
                <w:szCs w:val="24"/>
              </w:rPr>
              <w:t>устройство камер;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―</w:t>
            </w:r>
            <w:r>
              <w:rPr>
                <w:rFonts w:eastAsia="Liberation Serif"/>
                <w:sz w:val="24"/>
                <w:szCs w:val="24"/>
              </w:rPr>
              <w:t>установка всей запорной арматуры;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―</w:t>
            </w:r>
            <w:r>
              <w:rPr>
                <w:rFonts w:eastAsia="Liberation Serif"/>
                <w:sz w:val="24"/>
                <w:szCs w:val="24"/>
              </w:rPr>
              <w:t>наличие переходов через естественные и искусственные преграды мест пересечений с коммуникациями;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―</w:t>
            </w:r>
            <w:r>
              <w:rPr>
                <w:rFonts w:eastAsia="Liberation Serif"/>
                <w:sz w:val="24"/>
                <w:szCs w:val="24"/>
              </w:rPr>
              <w:t>восстановление благоустройства территории (асфальтобетонное  дорожное  покрытие, бордюры, тротуарная плитка).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3.</w:t>
              <w:tab/>
              <w:t>Выполнить необходимые тепловые, гидравлические и прочностные расчёты.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4.</w:t>
              <w:tab/>
              <w:t>Согласование проектной документации с собственниками пересекаемых коммуникаций (при необходимости);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5.</w:t>
              <w:tab/>
              <w:t>Разработка сметной документации.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При необходимости Подрядчик выполняет соответствующие корректировки проектной и сметной документаций, возникающие в ходе выполнения строительно-монтажных работ.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76"/>
              <w:ind w:hanging="0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Объем проектной документации должен быть достаточным для проведения строительно-монтажных работ.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Требования к составу разрабатываемой документации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0"/>
              <w:ind w:firstLine="397" w:left="170" w:right="1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Объём и состав проектной документации должен соответствовать требованиям  Постановления Правительства Российской Федерации от 16.02.2008 № 87 «О составе разделов проектной документации и требованиях к их содержанию», </w:t>
            </w:r>
            <w:r>
              <w:rPr>
                <w:strike w:val="false"/>
                <w:dstrike w:val="false"/>
                <w:sz w:val="24"/>
              </w:rPr>
              <w:t>ГОСТ Р 21.101-2020 "Система проектной документации для строительства. ГОСТ 24.405-93 "Правила оформления рабочей документации тепловой изоляции оборудования и трубопроводов" и других взаимосвязанных стандартов Системы проектной документации для строительства, Постановлением Правительства РФ от 26.12.2014 №1521 «Об утверждении перечня национальных стандартов и сводов правил», Федеральным законом от 30.12.2009 №384-ФЗ «Технический регламент о безопасности зданий и сооружений» в объеме в соответствии с техническим заданием.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76" w:before="0" w:after="0"/>
              <w:ind w:firstLine="397" w:left="170" w:right="1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Раздел ПОС выполнить в соответствии с требованиями СП 48.13330.2019 «Свод правил. Организация строительства». </w:t>
            </w:r>
            <w:r>
              <w:rPr>
                <w:sz w:val="24"/>
                <w:szCs w:val="24"/>
                <w:lang w:eastAsia="ru-RU" w:bidi="ru-RU"/>
              </w:rPr>
              <w:t>В ПОС разработать сводные спецификации на оборудование, строительные конструкции, материалы.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76" w:before="0" w:after="0"/>
              <w:ind w:firstLine="397" w:left="170" w:right="113"/>
              <w:jc w:val="both"/>
              <w:rPr>
                <w:sz w:val="24"/>
              </w:rPr>
            </w:pPr>
            <w:r>
              <w:rPr>
                <w:sz w:val="24"/>
                <w:szCs w:val="24"/>
                <w:lang w:eastAsia="ru-RU" w:bidi="ru-RU"/>
              </w:rPr>
              <w:t>В составе проекта организации реконструкции разработать перечень работ, для которых необходимо составление актов освидетельствования скрытых работ и актов промежуточной приемки ответственных конструкций (работ), порядок проведения приемочных испытаний (проверок). При составлении календарного плана строительства учесть сроки изготовления и доставки материалов и оборудования к месту строительства.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В составе проекта предусмотреть: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</w:t>
              <w:tab/>
              <w:t>спецификацию изделий и Материалов, выполняемую в соответствии с "ГОСТ 21.110-2013. Межгосударственный стандарт. Система проектной документации для строительства. Спецификация оборудования, изделий и материалов";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</w:t>
              <w:tab/>
              <w:t>ведомости и сводные ведомости потребности в материалах по "ГОСТ 21.110-2013. Межгосударственный стандарт. Система проектной документации для строительства. Спецификация оборудования, изделий и материалов";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 ведомости и сборники ведомостей объемов строительных и монтажных работ по "ГОСТ 21.110-2013. Межгосударственный стандарт. Система проектной документации для строительства";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- другие документы, предусмотренные соответствующими стандартами СПДС.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Объем проектной документации должен быть достаточным для проведения всего комплекса монтажных работ, включая рабочие чертежи, объединенные в комплекты по видам работ.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2. В составе сметной документации предусмотреть: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 локальные сметы (сметные расчеты) на отдельные виды работ, которые необходимо выполнить по данному объекту;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объектные сметы (сметные расчеты) на объект в целом, где объединены данные из локальных смет;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сметные расчеты на отдельные виды затрат;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сводные сметные расчёты;</w:t>
            </w:r>
          </w:p>
          <w:p>
            <w:pPr>
              <w:pStyle w:val="Normal"/>
              <w:spacing w:lineRule="auto" w:line="276"/>
              <w:ind w:firstLine="130" w:left="159" w:right="137"/>
              <w:rPr>
                <w:sz w:val="24"/>
              </w:rPr>
            </w:pPr>
            <w:r>
              <w:rPr>
                <w:sz w:val="24"/>
              </w:rPr>
              <w:t>- ведомости объёмов работ;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- прайс-листы и технико-коммерческие предложения на материалы и оборудование.</w:t>
            </w:r>
          </w:p>
          <w:p>
            <w:pPr>
              <w:pStyle w:val="Normal"/>
              <w:spacing w:lineRule="auto" w:line="276"/>
              <w:ind w:firstLine="130" w:left="159" w:right="137"/>
              <w:jc w:val="both"/>
              <w:rPr>
                <w:sz w:val="24"/>
              </w:rPr>
            </w:pPr>
            <w:r>
              <w:rPr>
                <w:sz w:val="24"/>
              </w:rPr>
              <w:t>В стоимость работ должны быть включены все затраты, связанные с созданием объекта и вводом его в эксплуатацию.</w:t>
            </w:r>
          </w:p>
          <w:p>
            <w:pPr>
              <w:pStyle w:val="Normal"/>
              <w:spacing w:lineRule="auto" w:line="276"/>
              <w:ind w:firstLine="159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Все оборудование и материалы со стоимостью по прайс-листам должны быть согласованы с Заказчиком в процессе проектирования. К запросу на согласование цены в обязательном порядке прикладываются коммерческие предложения и мониторинг цен, не менее трёх поставщиков.</w:t>
            </w:r>
          </w:p>
          <w:p>
            <w:pPr>
              <w:pStyle w:val="Annotationtext"/>
              <w:spacing w:lineRule="auto" w:line="276"/>
              <w:ind w:firstLine="130" w:left="159" w:right="137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sz w:val="24"/>
              </w:rPr>
              <w:t>3. Проектную документацию в обязательном порядке согласовать с Заказчиком.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Основные требования к проектным решениям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Для компенсации температурных удлинений трубопроводов в соответствии с требованиями СНиП использовать углы поворотов трассы, сильфонные компенсаторы.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Вид прокладки теплотрассы принять в соответствии с требованиями СНиП, увязав с существующими условиями прохождения тепловой сети.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Отвод дренажных вод запроектировать в соответствии с требованиями законодательства об охране окружающей среды и основ земельного кодекса РФ, получить все необходимые согласования.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Железобетонные конструкции, соприкасающиеся с грунтом, покрыть гидроизоляционной мастикой.</w:t>
            </w:r>
          </w:p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Расчет на прочность трубопроводов выполнить в соответствии с ГОСТ 55596-2013 «Сети тепловые. Нормы и методы расчета на прочность и сейсмические воздействия».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Style w:val="23"/>
                <w:rFonts w:eastAsia="Times New Roman" w:cs="Times New Roman"/>
                <w:szCs w:val="22"/>
              </w:rPr>
              <w:t>Порядок формирования сметной документации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В составе проектной документации сметы на СМР формировать по следующим критериям: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При составлении сметной документации руководствоваться актуальными методическими документами, действующими на момент составления проектной документации.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rFonts w:cs="Times New Roman"/>
                <w:sz w:val="24"/>
                <w:szCs w:val="24"/>
              </w:rPr>
              <w:t>Индексы перевода в текущие цены учитывать по данным ФГИС, публикуемых на момент составления сметной документации</w:t>
            </w:r>
            <w:r>
              <w:rPr>
                <w:spacing w:val="-5"/>
                <w:sz w:val="24"/>
                <w:szCs w:val="24"/>
                <w:lang w:bidi="ru-RU"/>
              </w:rPr>
              <w:t>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– </w:t>
            </w:r>
            <w:r>
              <w:rPr>
                <w:spacing w:val="-5"/>
                <w:sz w:val="24"/>
                <w:szCs w:val="24"/>
                <w:lang w:bidi="ru-RU"/>
              </w:rPr>
              <w:t>при расчете сметной стоимости, сметную прибыль принять 40% от ФОТ для СМР.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Командировочные затраты предусмотреть в размере 3,74% от итогов глав 1-9 без учёта стоимости оборудования.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Величину резерва средств на непредвиденные работы и затраты принимать в размере 3%.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Предусмотреть затраты на выполнение гидравлических и гарантийных испытаний.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Стоимость материалов учтённых в сметах по текущим ценам, подтвердить обосновывающими документами с предоставлением сравнительной таблицы предложений от трех поставщиков.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Применяемые ценообразующие документы согласовать с Заказчиком.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1361" w:leader="none"/>
              </w:tabs>
              <w:spacing w:lineRule="auto" w:line="276"/>
              <w:ind w:firstLine="301" w:left="142" w:right="137"/>
              <w:jc w:val="both"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>Сводный сметный расчёт, объектные сметы, составляются в базисном и текущем уровне цен на момент строительства.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Требования пожарной и промышленной безопасности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01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Документацию выполнить с учетом «Технического регламента о требованиях пожарной безопасности» (ФЗ от 22.07.2008 № 123), РД 153-34.0-49.101-2003 и иных нормативно-технических документов. Учесть требования федерального закона «О промышленной безопасности опасных производственных объектов» (ФЗ от 21.07.1997 № 116-ФЗ).</w:t>
            </w:r>
          </w:p>
        </w:tc>
      </w:tr>
      <w:tr>
        <w:trPr>
          <w:trHeight w:val="719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Перечень нормативных документов и приказов, обязательных к применению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Градостроительный кодекс Российской Федерации от 29.12.2004 N 191-Федеральный закон.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 </w:t>
            </w:r>
            <w:r>
              <w:rPr>
                <w:rStyle w:val="23"/>
              </w:rPr>
              <w:t>- Земельный кодекс Российской Федерации от 25.10.2001 N 136- Федеральный закон.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от 24.07.2007 № 221-Федеральный закон «О государственном кадастре недвижимости».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42.13330.2016 «Градостроительство. Планировка и застройка городских и сельских поселений».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11-112-2001 "Порядок разработки и состав раздела "Инженерно-технические мероприятия гражданской обороны. Мероприятия по предупреждению чрезвычайных ситуаций" градостроительной документации для территорий городских и сельских поселений, других муниципальных образований.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47.13330.2016 «Инженерные изыскания для строительства. Основные положения».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Инструкция о порядке проектирования и установления красных линий в городах и других поселениях Российской Федерации РДС-30-201-98, принятая постановлением Госстроя России от 06.04.1998г. № 18-30.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Закон Амурской области от 05.12.2006 № 259-ОЗ «О регулировании градостроительной деятельности в Амурской области».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Нормативы градостроительного проектирования муниципального образования рабочего поселка (пгт) Прогресс.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- Генеральный план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рабочего поселка (пгт) Прогресс.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Правила землепользования и застройки муниципального образования города Благовещенска.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  <w:lang w:bidi="ru-RU"/>
              </w:rPr>
            </w:pPr>
            <w:r>
              <w:rPr>
                <w:rStyle w:val="23"/>
              </w:rPr>
              <w:t>- СП 124.13330.2012. Тепловые сети (Изменение № 1);</w:t>
            </w:r>
          </w:p>
          <w:p>
            <w:pPr>
              <w:pStyle w:val="Normal"/>
              <w:widowControl w:val="false"/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36.13330.2012. Свод правил. Магистральные трубопроводы (Изменение №1, 2, 3);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61.13330.2012 Тепловая изоляция оборудования и трубопроводов (Изменение № 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08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ГОСТ 21.705-2016. Система проектной документации для строительства» (Поправка № 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33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33.13330.2012 «Расчет на прочность стальных трубопроводов» (Изменение № 1);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5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41-105-2002 «Проектирование и строительство тепловых сетей бесканальной прокладки из стальных труб с индустриальной тепловой изоляцией из пенополиуретана в полиэтиленовой оболочке»;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8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ГОСТ 21.206-2012 СПДС. Условные обозначения трубопроводов;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4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ГОСТ 21.405-93 СПДС. Правила выполнения рабочей документации тепловой изоляции оборудования и трубопроводов;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ГОСТ 21.705-2016 СПДС. Правила выполнения рабочей документации тепловых сетей (Поправка № 1);</w:t>
            </w:r>
          </w:p>
          <w:p>
            <w:pPr>
              <w:pStyle w:val="Normal"/>
              <w:widowControl w:val="false"/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-ГОСТ Р 21.101-2020 «Система проектной документации для строительства (СПДС). Основные требования к проектной и рабочей документации»;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58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СН 531-80 Инструкция о составе, порядке разработки и утверждения схем теплоснабжения населенных пунктов с суммарной тепловой нагрузкой до 116 МВт (1000 Гкал/ч)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80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РД 153-34.0-20.518-2003 Типовая инструкция по защите трубопроводов, тепловых сетей от наружной коррозии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80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СП 28.13330.2017. Свод правил. Защита строительных конструкций и сооружений от коррозии (Изменение № 1, 2)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РФ от 27.12.2002 № 184-ФЗ «О техническом регулировании» (*в действующей редакции);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от 10.01.2002 № 7-ФЗ «Об охране окружающей среды» (с изменениями на 2 июля 2021 года);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Федеральный закон от 21.12.1994 № 69-ФЗ «О пожарной безопасности» (*в действующей редакции);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ГОСТ Р 1.4-2004 Стандартизация в Российской Федерации. Стандарты организации. Общие положения;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Постановление от 23 июля 2001 года № 80. О принятии строительных норм и правил Российской Федерации «Безопасность труда в строительстве. Часть 1. Общие требования».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rStyle w:val="23"/>
              </w:rPr>
              <w:t>- Постановление от 17 сентября 2002 года № 123. О принятии строительных норм и правил Российской Федерации «Безопасность труда в строительстве. Часть 2. Строительное производство»;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48.13330.2019. Организация строительства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59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СП 126.13330.2017. Геодезические работы в строительстве.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90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СанПиН 2.2.1/2.1.1.1200-03 «Санитарно-защитные зоны и санитарная классификация предприятий, сооружений и иных объектов»;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90" w:leader="none"/>
                <w:tab w:val="left" w:pos="750" w:leader="none"/>
                <w:tab w:val="left" w:pos="954" w:leader="none"/>
              </w:tabs>
              <w:spacing w:lineRule="auto" w:line="276"/>
              <w:ind w:firstLine="121" w:left="142" w:right="279"/>
              <w:jc w:val="both"/>
              <w:rPr>
                <w:rStyle w:val="23"/>
              </w:rPr>
            </w:pPr>
            <w:r>
              <w:rPr>
                <w:rStyle w:val="23"/>
              </w:rPr>
              <w:t>- Муниципальные нормы и правила благоустройства территории муниципального образования рабочий поселок (пгт) Прогресс.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" w:leader="none"/>
                <w:tab w:val="left" w:pos="430" w:leader="none"/>
              </w:tabs>
              <w:spacing w:lineRule="auto" w:line="276"/>
              <w:ind w:firstLine="121" w:left="142" w:right="2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</w:p>
          <w:p>
            <w:pPr>
              <w:pStyle w:val="Normal"/>
              <w:rPr/>
            </w:pPr>
            <w:r>
              <w:rPr>
                <w:sz w:val="24"/>
                <w:szCs w:val="24"/>
              </w:rPr>
              <w:t>Перечень не является исчерпывающим и при применении используются действующие редакции.</w:t>
            </w:r>
          </w:p>
        </w:tc>
      </w:tr>
      <w:tr>
        <w:trPr>
          <w:trHeight w:val="416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ind w:left="142" w:right="82"/>
              <w:rPr>
                <w:rFonts w:ascii="Times New Roman" w:hAnsi="Times New Roman" w:cs="Times New Roman"/>
                <w:sz w:val="24"/>
                <w:szCs w:val="22"/>
                <w:u w:val="none"/>
              </w:rPr>
            </w:pPr>
            <w:r>
              <w:rPr>
                <w:rFonts w:eastAsia="Times New Roman" w:cs="Times New Roman"/>
                <w:sz w:val="24"/>
                <w:szCs w:val="22"/>
                <w:u w:val="none"/>
              </w:rPr>
              <w:t>Требования к конфиденциальности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300"/>
              <w:ind w:firstLine="159" w:left="142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Подрядчик обязан соблюдать требования, предъявляемые действующим законодательством РФ, локальными нормативными актами и приказами Общества, к работе с документами и сведениями, содержащими конфиденциальную информацию и не разглашать конфиденциальную информацию, ставшую ему известной в процессе выполнения работ.</w:t>
            </w:r>
          </w:p>
        </w:tc>
      </w:tr>
      <w:tr>
        <w:trPr>
          <w:trHeight w:val="416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Документация, выдаваемая</w:t>
            </w:r>
          </w:p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заказчику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Три экземпляра в бумажном виде и один экземпляр на электронном носителе (на </w:t>
            </w:r>
            <w:r>
              <w:rPr>
                <w:sz w:val="24"/>
                <w:lang w:val="en-US"/>
              </w:rPr>
              <w:t>USB</w:t>
            </w:r>
            <w:r>
              <w:rPr>
                <w:sz w:val="24"/>
              </w:rPr>
              <w:t>-носителе).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Формат передаваемой в электронном виде документации: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текстовая часть – doc, pdf (пояснительная записка и «ПОС» обязательно в pdf и doc) с подписями и печатями на титульных листах;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графическая часть -  dwg или cdw, pdf, tiff;</w:t>
            </w:r>
          </w:p>
          <w:p>
            <w:pPr>
              <w:pStyle w:val="Normal"/>
              <w:spacing w:lineRule="auto" w:line="276" w:before="0" w:after="0"/>
              <w:ind w:firstLine="289" w:left="159" w:right="279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- таблицы данных - doc, pdf, xls;</w:t>
            </w:r>
          </w:p>
          <w:p>
            <w:pPr>
              <w:pStyle w:val="Normal"/>
              <w:spacing w:lineRule="auto" w:line="276"/>
              <w:ind w:firstLine="284" w:left="159" w:right="279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sz w:val="24"/>
              </w:rPr>
              <w:t>- сметную документацию – в формате «ГРАНД-смета» - gsfх ;   xlsх и pdf.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95" w:hRule="atLeast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70"/>
              <w:jc w:val="center"/>
              <w:rPr>
                <w:rFonts w:ascii="Liberation Serif" w:hAnsi="Liberation Serif" w:eastAsia="Liberation Serif" w:cs="Liberation Serif"/>
                <w:sz w:val="24"/>
                <w:szCs w:val="22"/>
              </w:rPr>
            </w:pPr>
            <w:r>
              <w:rPr>
                <w:rFonts w:eastAsia="Liberation Serif" w:cs="Liberation Serif" w:ascii="Liberation Serif" w:hAnsi="Liberation Serif"/>
                <w:sz w:val="24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24"/>
              <w:ind w:left="142" w:right="82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eastAsia="Times New Roman" w:cs="Times New Roman"/>
                <w:sz w:val="24"/>
                <w:szCs w:val="22"/>
              </w:rPr>
              <w:t>Приложения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4"/>
              </w:numPr>
              <w:spacing w:lineRule="auto" w:line="324"/>
              <w:ind w:hanging="360" w:left="780" w:right="158"/>
              <w:jc w:val="both"/>
              <w:rPr>
                <w:rFonts w:eastAsia="Liberation Serif"/>
                <w:sz w:val="24"/>
                <w:szCs w:val="24"/>
              </w:rPr>
            </w:pPr>
            <w:r>
              <w:rPr>
                <w:rFonts w:eastAsia="Liberation Serif"/>
                <w:sz w:val="24"/>
                <w:szCs w:val="24"/>
              </w:rPr>
              <w:t>Схема трассировки тепловой сети</w:t>
            </w:r>
          </w:p>
        </w:tc>
      </w:tr>
    </w:tbl>
    <w:p>
      <w:pPr>
        <w:pStyle w:val="Normal"/>
        <w:jc w:val="center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</w:r>
    </w:p>
    <w:sectPr>
      <w:footerReference w:type="default" r:id="rId2"/>
      <w:type w:val="nextPage"/>
      <w:pgSz w:w="11906" w:h="16838"/>
      <w:pgMar w:left="1083" w:right="1083" w:gutter="0" w:header="0" w:top="850" w:footer="274" w:bottom="42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jc w:val="right"/>
      <w:rPr>
        <w:highlight w:val="no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31" w:hanging="24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6"/>
      <w:numFmt w:val="decimal"/>
      <w:lvlText w:val="%1."/>
      <w:lvlJc w:val="left"/>
      <w:pPr>
        <w:tabs>
          <w:tab w:val="num" w:pos="0"/>
        </w:tabs>
        <w:ind w:left="502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numPr>
        <w:ilvl w:val="0"/>
        <w:numId w:val="1"/>
      </w:numPr>
      <w:jc w:val="center"/>
      <w:outlineLvl w:val="0"/>
    </w:pPr>
    <w:rPr>
      <w:rFonts w:ascii="Arial" w:hAnsi="Arial"/>
      <w:sz w:val="28"/>
    </w:rPr>
  </w:style>
  <w:style w:type="paragraph" w:styleId="Heading2">
    <w:name w:val="Heading 2"/>
    <w:link w:val="2"/>
    <w:uiPriority w:val="9"/>
    <w:unhideWhenUsed/>
    <w:qFormat/>
    <w:pPr>
      <w:keepNext w:val="true"/>
      <w:keepLines/>
      <w:widowControl/>
      <w:suppressAutoHyphens w:val="true"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0"/>
      <w:lang w:val="ru-RU" w:eastAsia="zh-CN" w:bidi="ar-SA"/>
    </w:rPr>
  </w:style>
  <w:style w:type="paragraph" w:styleId="Heading3">
    <w:name w:val="Heading 3"/>
    <w:link w:val="3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zh-CN" w:bidi="ar-SA"/>
    </w:rPr>
  </w:style>
  <w:style w:type="paragraph" w:styleId="Heading4">
    <w:name w:val="Heading 4"/>
    <w:link w:val="4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zh-CN" w:bidi="ar-SA"/>
    </w:rPr>
  </w:style>
  <w:style w:type="paragraph" w:styleId="Heading5">
    <w:name w:val="Heading 5"/>
    <w:link w:val="5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Heading6">
    <w:name w:val="Heading 6"/>
    <w:link w:val="6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Heading7">
    <w:name w:val="Heading 7"/>
    <w:link w:val="7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zh-CN" w:bidi="ar-SA"/>
    </w:rPr>
  </w:style>
  <w:style w:type="paragraph" w:styleId="Heading8">
    <w:name w:val="Heading 8"/>
    <w:link w:val="8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zh-CN" w:bidi="ar-SA"/>
    </w:rPr>
  </w:style>
  <w:style w:type="paragraph" w:styleId="Heading9">
    <w:name w:val="Heading 9"/>
    <w:link w:val="9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zh-CN" w:bidi="ar-SA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sz w:val="28"/>
      <w:lang w:eastAsia="zh-CN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/>
      <w:sz w:val="28"/>
      <w:szCs w:val="28"/>
    </w:rPr>
  </w:style>
  <w:style w:type="character" w:styleId="WW8Num2z1" w:customStyle="1">
    <w:name w:val="WW8Num2z1"/>
    <w:qFormat/>
    <w:rPr>
      <w:rFonts w:ascii="Symbol" w:hAnsi="Symbol"/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/>
      <w:sz w:val="28"/>
      <w:szCs w:val="28"/>
    </w:rPr>
  </w:style>
  <w:style w:type="character" w:styleId="WW8Num4z0" w:customStyle="1">
    <w:name w:val="WW8Num4z0"/>
    <w:qFormat/>
    <w:rPr>
      <w:rFonts w:ascii="Symbol" w:hAnsi="Symbol"/>
    </w:rPr>
  </w:style>
  <w:style w:type="character" w:styleId="WW8Num4z1" w:customStyle="1">
    <w:name w:val="WW8Num4z1"/>
    <w:qFormat/>
    <w:rPr>
      <w:rFonts w:ascii="Courier New" w:hAnsi="Courier New"/>
    </w:rPr>
  </w:style>
  <w:style w:type="character" w:styleId="WW8Num4z2" w:customStyle="1">
    <w:name w:val="WW8Num4z2"/>
    <w:qFormat/>
    <w:rPr>
      <w:rFonts w:ascii="Wingdings" w:hAnsi="Wingdings"/>
    </w:rPr>
  </w:style>
  <w:style w:type="character" w:styleId="11" w:customStyle="1">
    <w:name w:val="Основной шрифт абзаца1"/>
    <w:qFormat/>
    <w:rPr/>
  </w:style>
  <w:style w:type="character" w:styleId="Style12" w:customStyle="1">
    <w:name w:val="Текст выноски Знак"/>
    <w:link w:val="BalloonText"/>
    <w:semiHidden/>
    <w:qFormat/>
    <w:rPr>
      <w:rFonts w:ascii="Tahoma" w:hAnsi="Tahoma"/>
      <w:sz w:val="16"/>
      <w:szCs w:val="16"/>
      <w:lang w:eastAsia="zh-CN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yle13" w:customStyle="1">
    <w:name w:val="Текст примечания Знак"/>
    <w:link w:val="Annotationtext"/>
    <w:qFormat/>
    <w:rPr>
      <w:lang w:eastAsia="zh-CN"/>
    </w:rPr>
  </w:style>
  <w:style w:type="character" w:styleId="Style14" w:customStyle="1">
    <w:name w:val="Тема примечания Знак"/>
    <w:link w:val="Annotationsubject"/>
    <w:semiHidden/>
    <w:qFormat/>
    <w:rPr>
      <w:b/>
      <w:bCs/>
      <w:lang w:eastAsia="zh-CN"/>
    </w:rPr>
  </w:style>
  <w:style w:type="character" w:styleId="22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23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215pt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Style15" w:customStyle="1">
    <w:name w:val="Верхний колонтитул Знак"/>
    <w:qFormat/>
    <w:rPr>
      <w:sz w:val="24"/>
      <w:szCs w:val="24"/>
      <w:lang w:eastAsia="zh-CN"/>
    </w:rPr>
  </w:style>
  <w:style w:type="character" w:styleId="Style16" w:customStyle="1">
    <w:name w:val="Нижний колонтитул Знак"/>
    <w:qFormat/>
    <w:rPr>
      <w:sz w:val="24"/>
      <w:szCs w:val="24"/>
      <w:lang w:eastAsia="zh-CN"/>
    </w:rPr>
  </w:style>
  <w:style w:type="character" w:styleId="Style17" w:customStyle="1">
    <w:name w:val="Абзац списка Знак"/>
    <w:link w:val="ListParagraph"/>
    <w:uiPriority w:val="34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Arial" w:hAnsi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link w:val="Style17"/>
    <w:uiPriority w:val="34"/>
    <w:qFormat/>
    <w:pPr>
      <w:widowControl/>
      <w:suppressAutoHyphens w:val="true"/>
      <w:bidi w:val="0"/>
      <w:spacing w:before="0" w:after="0"/>
      <w:ind w:left="720"/>
      <w:contextualSpacing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BodyText"/>
    <w:link w:val="Style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ubtitle">
    <w:name w:val="Subtitle"/>
    <w:link w:val="Style6"/>
    <w:uiPriority w:val="11"/>
    <w:qFormat/>
    <w:pPr>
      <w:widowControl/>
      <w:suppressAutoHyphens w:val="true"/>
      <w:bidi w:val="0"/>
      <w:spacing w:before="200" w:after="200"/>
      <w:jc w:val="left"/>
    </w:pPr>
    <w:rPr>
      <w:rFonts w:ascii="Times New Roman" w:hAnsi="Times New Roman" w:eastAsia="Tahoma" w:cs="Lohit Devanagari"/>
      <w:color w:val="auto"/>
      <w:kern w:val="0"/>
      <w:sz w:val="24"/>
      <w:szCs w:val="24"/>
      <w:lang w:val="ru-RU" w:eastAsia="zh-CN" w:bidi="ar-SA"/>
    </w:rPr>
  </w:style>
  <w:style w:type="paragraph" w:styleId="Quote">
    <w:name w:val="Quote"/>
    <w:link w:val="21"/>
    <w:uiPriority w:val="29"/>
    <w:qFormat/>
    <w:pPr>
      <w:widowControl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IntenseQuote">
    <w:name w:val="Intense Quote"/>
    <w:link w:val="Style7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link w:val="Style8"/>
    <w:uiPriority w:val="99"/>
    <w:semiHidden/>
    <w:unhideWhenUsed/>
    <w:pPr>
      <w:widowControl/>
      <w:suppressAutoHyphens w:val="true"/>
      <w:bidi w:val="0"/>
      <w:spacing w:before="0" w:after="40"/>
      <w:jc w:val="left"/>
    </w:pPr>
    <w:rPr>
      <w:rFonts w:ascii="Times New Roman" w:hAnsi="Times New Roman" w:eastAsia="Tahoma" w:cs="Lohit Devanagari"/>
      <w:color w:val="auto"/>
      <w:kern w:val="0"/>
      <w:sz w:val="18"/>
      <w:szCs w:val="20"/>
      <w:lang w:val="ru-RU" w:eastAsia="zh-CN" w:bidi="ar-SA"/>
    </w:rPr>
  </w:style>
  <w:style w:type="paragraph" w:styleId="EndnoteText">
    <w:name w:val="Endnote Text"/>
    <w:link w:val="Style10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1">
    <w:name w:val="TOC 1"/>
    <w:uiPriority w:val="39"/>
    <w:unhideWhenUsed/>
    <w:pPr>
      <w:widowControl/>
      <w:suppressAutoHyphens w:val="true"/>
      <w:bidi w:val="0"/>
      <w:spacing w:before="0" w:after="5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2">
    <w:name w:val="TOC 2"/>
    <w:uiPriority w:val="39"/>
    <w:unhideWhenUsed/>
    <w:pPr>
      <w:widowControl/>
      <w:suppressAutoHyphens w:val="true"/>
      <w:bidi w:val="0"/>
      <w:spacing w:before="0" w:after="57"/>
      <w:ind w:left="283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3">
    <w:name w:val="TOC 3"/>
    <w:uiPriority w:val="39"/>
    <w:unhideWhenUsed/>
    <w:pPr>
      <w:widowControl/>
      <w:suppressAutoHyphens w:val="true"/>
      <w:bidi w:val="0"/>
      <w:spacing w:before="0" w:after="57"/>
      <w:ind w:left="56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4">
    <w:name w:val="TOC 4"/>
    <w:uiPriority w:val="39"/>
    <w:unhideWhenUsed/>
    <w:pPr>
      <w:widowControl/>
      <w:suppressAutoHyphens w:val="true"/>
      <w:bidi w:val="0"/>
      <w:spacing w:before="0" w:after="57"/>
      <w:ind w:left="85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5">
    <w:name w:val="TOC 5"/>
    <w:uiPriority w:val="39"/>
    <w:unhideWhenUsed/>
    <w:pPr>
      <w:widowControl/>
      <w:suppressAutoHyphens w:val="true"/>
      <w:bidi w:val="0"/>
      <w:spacing w:before="0" w:after="57"/>
      <w:ind w:left="113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6">
    <w:name w:val="TOC 6"/>
    <w:uiPriority w:val="39"/>
    <w:unhideWhenUsed/>
    <w:pPr>
      <w:widowControl/>
      <w:suppressAutoHyphens w:val="true"/>
      <w:bidi w:val="0"/>
      <w:spacing w:before="0" w:after="57"/>
      <w:ind w:left="141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7">
    <w:name w:val="TOC 7"/>
    <w:uiPriority w:val="39"/>
    <w:unhideWhenUsed/>
    <w:pPr>
      <w:widowControl/>
      <w:suppressAutoHyphens w:val="true"/>
      <w:bidi w:val="0"/>
      <w:spacing w:before="0" w:after="57"/>
      <w:ind w:left="1701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8">
    <w:name w:val="TOC 8"/>
    <w:uiPriority w:val="39"/>
    <w:unhideWhenUsed/>
    <w:pPr>
      <w:widowControl/>
      <w:suppressAutoHyphens w:val="true"/>
      <w:bidi w:val="0"/>
      <w:spacing w:before="0" w:after="57"/>
      <w:ind w:left="198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9">
    <w:name w:val="TOC 9"/>
    <w:uiPriority w:val="39"/>
    <w:unhideWhenUsed/>
    <w:pPr>
      <w:widowControl/>
      <w:suppressAutoHyphens w:val="true"/>
      <w:bidi w:val="0"/>
      <w:spacing w:before="0" w:after="57"/>
      <w:ind w:left="2268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uiPriority w:val="9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12" w:customStyle="1">
    <w:name w:val="Указатель1"/>
    <w:basedOn w:val="Normal"/>
    <w:qFormat/>
    <w:pPr>
      <w:suppressLineNumbers/>
    </w:pPr>
    <w:rPr/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Style12"/>
    <w:semiHidden/>
    <w:qFormat/>
    <w:pPr/>
    <w:rPr>
      <w:rFonts w:ascii="Tahoma" w:hAnsi="Tahoma"/>
      <w:sz w:val="16"/>
      <w:szCs w:val="16"/>
    </w:rPr>
  </w:style>
  <w:style w:type="paragraph" w:styleId="42" w:customStyle="1">
    <w:name w:val="Абзац списка;Алроса_маркер (Уровень 4);Маркер;ПАРАГРАФ;Абзац списка2"/>
    <w:basedOn w:val="Normal"/>
    <w:qFormat/>
    <w:pPr>
      <w:spacing w:before="0" w:after="0"/>
      <w:ind w:left="720"/>
      <w:contextualSpacing/>
    </w:pPr>
    <w:rPr>
      <w:lang w:eastAsia="ru-RU"/>
    </w:rPr>
  </w:style>
  <w:style w:type="paragraph" w:styleId="Annotationtext">
    <w:name w:val="annotation text"/>
    <w:basedOn w:val="Normal"/>
    <w:link w:val="Style13"/>
    <w:qFormat/>
    <w:pPr/>
    <w:rPr/>
  </w:style>
  <w:style w:type="paragraph" w:styleId="Annotationsubject">
    <w:name w:val="annotation subject"/>
    <w:basedOn w:val="Annotationtext"/>
    <w:next w:val="Annotationtext"/>
    <w:link w:val="Style14"/>
    <w:semiHidden/>
    <w:qFormat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6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71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78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79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0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1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2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3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5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6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7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8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9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0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2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3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4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5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6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7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9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0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1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2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3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4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6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7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8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9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0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1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3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4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5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6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7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8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0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1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2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3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4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5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7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8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9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0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1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2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4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5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6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7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8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9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8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9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0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1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2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3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5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6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7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8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9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0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2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3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4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5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6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7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9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0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1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2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3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4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5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6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7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8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9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0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2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3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4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5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6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7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8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9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0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1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2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3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4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5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LibreOffice/7.6.7.2$Linux_X86_64 LibreOffice_project/60$Build-2</Application>
  <AppVersion>15.0000</AppVersion>
  <Pages>7</Pages>
  <Words>1871</Words>
  <Characters>13496</Characters>
  <CharactersWithSpaces>15371</CharactersWithSpaces>
  <Paragraphs>165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2023-03-21T05:27:00Z</dcterms:created>
  <dc:creator/>
  <dc:description/>
  <dc:language>ru-RU</dc:language>
  <cp:lastModifiedBy/>
  <dcterms:modified xsi:type="dcterms:W3CDTF">2026-02-25T08:31:12Z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